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A" w:rsidRPr="007A1A5A" w:rsidRDefault="008E64B4" w:rsidP="007A1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9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7A1A5A" w:rsidRPr="007A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9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A5A" w:rsidRPr="007A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защите прав потребителей</w:t>
      </w:r>
    </w:p>
    <w:p w:rsidR="007A1A5A" w:rsidRPr="007A1A5A" w:rsidRDefault="007A1A5A" w:rsidP="007A1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Ханты-Мансийский район</w:t>
      </w:r>
      <w:r w:rsidR="0069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</w:p>
    <w:p w:rsidR="007A1A5A" w:rsidRPr="007A1A5A" w:rsidRDefault="007A1A5A" w:rsidP="007A1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3544"/>
        <w:gridCol w:w="2126"/>
      </w:tblGrid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1A5A" w:rsidRPr="00D27F09" w:rsidTr="0007101F">
        <w:trPr>
          <w:trHeight w:val="47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Мероприятия, направленные на обеспечение доступности правовой помощи для потребителей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жалоб потребителей, консультирование их по вопросам защиты прав потребителей, оказание правовой помощи в разрешении потребительских споров в досудебном и судебном порядке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A0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A0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 год поступило 13 обращений потребителей, в том числе: 12</w:t>
            </w:r>
            <w:r w:rsid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 телефон «Горячей линии», 1- письменное</w:t>
            </w:r>
            <w:r w:rsid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 все обращения даны разъяснения и консультации</w:t>
            </w:r>
          </w:p>
        </w:tc>
      </w:tr>
      <w:tr w:rsidR="007A1A5A" w:rsidRPr="00D27F09" w:rsidTr="00D27F09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«горячих линий» по вопросам защиты прав потребителей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марте</w:t>
            </w:r>
          </w:p>
        </w:tc>
      </w:tr>
      <w:tr w:rsidR="007A1A5A" w:rsidRPr="00D27F09" w:rsidTr="0007101F">
        <w:trPr>
          <w:trHeight w:val="4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A0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A07EC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роведена «Горячая линия» к Дню защиты прав потребителей»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(информационное, консультационное) общественным объединениям потребителей, иным общественным организациям, общественным советам муниципальных образований, волонтерам в решении задач по защите прав потребителей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Исполнение: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A1A5A" w:rsidRPr="00D27F09" w:rsidRDefault="007A1A5A" w:rsidP="00230351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Обращений от общественных организаций в содействии-не поступало. На официальном сайте в разделе «Экономическое развитие» /Потребительские рынок»/Защита прав потребителей  размещены Рекомендации</w:t>
            </w:r>
            <w:r w:rsidRPr="00D27F09">
              <w:rPr>
                <w:rFonts w:ascii="Times New Roman" w:eastAsiaTheme="majorEastAsia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 возможных формах участия общественности в наиболее актуал</w:t>
            </w:r>
            <w:r w:rsidRPr="00D27F09">
              <w:rPr>
                <w:rFonts w:ascii="Times New Roman" w:eastAsiaTheme="majorEastAsia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ьных направлениях обеспечения и </w:t>
            </w: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защиты прав потребителей в Ханты-Мансийском автономном округе – Югре</w:t>
            </w:r>
            <w:r w:rsidRPr="00D27F09">
              <w:rPr>
                <w:rFonts w:ascii="Times New Roman" w:eastAsiaTheme="majorEastAsia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обращений граждан по вопросам защиты прав потребителей, обобщение правоприменительной практики при осуществлении защиты прав потребителей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303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Комитетом экономической политики ежеквартально проводится анализ обращений. Отчет 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деятельности органа местного самоуправления по осуществлению защиты прав потребителей на территории муниципального образования Ханты-Мансийский район ежеквартально направляется в Департамент внутренней политики Х</w:t>
            </w:r>
            <w:r w:rsidR="0023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анты-Мансийского автономного округа - Югры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общественного мнения жителей муниципального образования об эффективности деятельности органа местного самоуправления в сфере защиты прав потребителей, об уровне информированности об органах и организациях, занимающихся защитой прав потребителей на территории муниципального образования, и удовлетворенности их работой, доступности и результативности правовой помощи (анкетирование, опросы, в том числе посредством сети Интернет на официальном сайте администрации района)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сельскими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2B5FB0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 не проводился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 направленные на повышение потребительской грамотности жителей муниципального образования, формирование навыков и стереотипов грамотного потребительского поведения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базе образовательных организаций мероприятий информационно-просветительского характера, направленных на просвещение и информирование населения в сфере защиты прав потребителей (семинаров, форумов, выставок, фестивалей, конференций, лекций, факультативных занятий, открытых уроков, вебинаров, тренингов, деловых игр, конкурсов, олимпиад, викторин), в том числе среди целевых групп населения (социально уязвимых групп населения), Ханты-Мансийской районной общественной организацией ветеранов (пенсионеров) войны, труда, вооруженных сил и правоохранительных органов, </w:t>
            </w:r>
            <w:r w:rsidRPr="00D27F0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Ханты-Мансийской районной организацией Общероссийской общественной организации «Всероссийское общество инвалидов»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7A1A5A" w:rsidRPr="00D27F09" w:rsidRDefault="007A1A5A" w:rsidP="007A1A5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7A1A5A" w:rsidRPr="00D27F09" w:rsidRDefault="007A1A5A" w:rsidP="007A1A5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«Комитет по культуре, спорту и социальной политике»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2B5F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9F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занятий с учащимися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учреждений 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</w:t>
            </w:r>
            <w:r w:rsidR="009F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п.Горноправдинск, п.Бобровский, д.Шапша, д.Ягурьях, с. Батово.  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о правах потребителей, механизмах защиты этих прав, типичных нарушениях в различных сферах потребительского рынка через газету «Наш район» и специальный раздел по защите прав потребителей на официальном сайте администрации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B5F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официальном сайте в разделе «Экономическое развитие» /Потребительские рынок»/Защита прав потребителей  размещены: </w:t>
            </w:r>
            <w:r w:rsidR="002B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 потребителю</w:t>
            </w:r>
            <w:r w:rsidR="002B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потребителя при нарушении прав</w:t>
            </w:r>
            <w:r w:rsidR="002B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 здании администрации района информационного стенда по вопросам защиты прав потребителей для населения и своевременное обновление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и контрольной работы (комендант);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технического обеспечения»;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B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стенд </w:t>
            </w:r>
            <w:r w:rsidR="002B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  котором  размещена первичная  информация для потребителей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тиражирование и распространение информационно-справочных материалов (памяток, буклетов, плакатов, брошюр и др.) для граждан по вопросам защиты прав потребителей в различных сферах потребительского рынка (в том числе через медицинские организации, образовательные организации, учреждения социального обслуживания населения, объекты транспортной инфраструктуры, многофункциональные центры предоставления государственных и муниципальных услуг, торговые объекты, молодежные организации и библиотечную сеть)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60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материалы в виде памяток распространялись специалистами юридическо-правового управления и комитета экономической политики во время проведения встреч с учащимися школ, педагогами и с населением</w:t>
            </w: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правовой грамотности населения в сфере защиты прав потребителей (анкетирование, опросы, тестирование, в том числе посредством сети Интернет на официальном сайте администрации Ханты-Мансийского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сельскими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проводилась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Мероприятия, направленные на профилактику нарушений потребительских прав, повышение правовой грамотности и социальной ответственности хозяйствующих субъектов, создание условий для повышения качества и безопасности реализуемых товаров, работ, услуг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образовательно-организационных мероприятий (семинаров, выставок, конференций, лекций, вебинаров и др.),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8C8" w:rsidRPr="00D27F09" w:rsidRDefault="007A1A5A" w:rsidP="009B18C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Исполнение: </w:t>
            </w:r>
            <w:r w:rsidR="00993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у</w:t>
            </w:r>
            <w:r w:rsidR="00993D55" w:rsidRP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твержден</w:t>
            </w:r>
            <w:r w:rsid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</w:t>
            </w:r>
            <w:r w:rsidR="00993D55" w:rsidRP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="00993D55" w:rsidRP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совместных выездных мероприятий Фонда поддержки предпринимательства, Администрации Ханты-Мансийского района, КУ «Центр занятости населения» в населенные пункты Ханты-Мансийского района, с целью организации встреч с </w:t>
            </w:r>
            <w:r w:rsid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населением района </w:t>
            </w:r>
            <w:r w:rsidR="00993D55" w:rsidRP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разъяснениям о действующих программах, направленных на трудоустройство и организацию самозанятости,  </w:t>
            </w:r>
            <w:r w:rsidR="009B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т.ч.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рынка, </w:t>
            </w:r>
            <w:r w:rsidR="00993D55" w:rsidRPr="00993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рамках которого выездные мероприятия проведены в 20 населенных пунктах Ханты-Мансийского района (Селиярово, Кышик, Нялинское, Пырьях, Красноленинский, Ягурьях, Луговской, Выкатной, Тюли, Белогорье, Троица, Кедровый, Елизарово, Согом, Цингалы, Кирпичный, Сибирский, Реполово, Батово, Горноправдинск), </w:t>
            </w:r>
            <w:r w:rsidR="00993D55" w:rsidRPr="00993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результате, чего 110 граждан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 района даны соответствующие разъяснения и консультации.</w:t>
            </w:r>
            <w:r w:rsidR="009B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1A5A" w:rsidRPr="00D27F09" w:rsidRDefault="00557A11" w:rsidP="006B44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Также </w:t>
            </w:r>
            <w:r w:rsidR="007A1A5A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 хозяйствующих субъектов по вопросам обеспечения прав потребителей в различных сферах потребительского рынка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проводилось при личном приеме специалистами комитета экономической политики и по телефону горячей линии администрации Ханты-Мансийского района 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тиражирование и распространение информационно-методических материалов (памяток, буклетов, плакатов, брошюр, сборников и др.) для хозяйствующих субъектов по вопросам соблюдения обязательных требований законодательства к товарам (работам, услугам), о правах потребителей, механизмах досудебного урегулирования потребительских споров, ответственности хозяйствующих субъектов за нарушение прав потребителей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151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Разработка, тиражирование и распространение информационно-методических материалов  для хозяйствующих субъектов не проводилось. При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выездных мероприятиях в населенные пункты района на о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объектов торговли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хозяйствующим субъектам 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предоставлялся </w:t>
            </w:r>
            <w:r w:rsidR="00151927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РФ «О защите прав потребителей»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151927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151927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телефонов органов, осуществляющих защиту прав потребителей 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бумажном носителе, для последующего их размещения на 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ционные стенды для потребителей. 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адресной работы с изготовителями, продавцами, исполнителями, на деятельность которых поступают жалобы потребителей (консультирование, совещания, круглые столы)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4E2D1F" w:rsidP="004E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Проводилась работа</w:t>
            </w:r>
            <w:r w:rsidR="007A1A5A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 хозяйствующими субъектами по обращениям потребителей -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A5A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продаже товаров ненадлежащего качества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правовой грамотности хозяйствующих субъектов в сфере защиты прав потребителей (анкетирование, опросы, тестирование и др., в том числе посредством сети Интернет на официальном сайте администрации Ханты-Мансийского района)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8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Мероприятия, направленные на обеспечение комплексного подхода к решению актуальных задач по обеспечению и защите прав потребителей в муниципальном образовании</w:t>
            </w:r>
          </w:p>
        </w:tc>
      </w:tr>
      <w:tr w:rsidR="007A1A5A" w:rsidRPr="00D27F09" w:rsidTr="00D27F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(совещаний, круглых столов, заседаний рабочих групп, иных совместных мероприятий), направленных на межведомственное взаимодействие по вопросам обеспечения и защиты прав потребителей с участием органов местного самоуправления, органов государственной власти федерального и окружного уровней, в том числе представителей хозяйствующих субъектов, общественных объединений потребителей, иных заинтересованных лиц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5032F9" w:rsidRDefault="00151927" w:rsidP="00503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2018 года на заседаниях Совета по развитию малого и среднего предпринимательства при администрации Ханты-Мансийского р</w:t>
            </w:r>
            <w:r w:rsidR="005032F9"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айона рассматривались вопросы, направленные на межведомственное взаимодействие по вопросам обеспечения и защиты прав потребителей с участием органов местного самоуправления, органов государственной власти федерального и окружного уровней</w:t>
            </w:r>
          </w:p>
        </w:tc>
      </w:tr>
      <w:tr w:rsidR="00B73042" w:rsidRPr="00D27F09" w:rsidTr="00B730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042" w:rsidRPr="00B73042" w:rsidRDefault="00B73042" w:rsidP="00FB4481">
            <w:pPr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2" w:rsidRPr="00B73042" w:rsidRDefault="00B73042" w:rsidP="00FB4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Проведение мероприятий (совещаний, круглых столов, заседаний рабочих групп, иных совместных мероприятий), направленных на координацию и взаимодействие по вопросам обеспечения и защиты прав потребителей между органами администрации Ханты-Мансийского района,</w:t>
            </w:r>
            <w:r w:rsidRPr="00B73042">
              <w:rPr>
                <w:sz w:val="24"/>
                <w:szCs w:val="24"/>
              </w:rPr>
              <w:t xml:space="preserve"> </w:t>
            </w:r>
            <w:r w:rsidRPr="00B73042">
              <w:rPr>
                <w:rFonts w:ascii="Times New Roman" w:hAnsi="Times New Roman"/>
                <w:sz w:val="24"/>
                <w:szCs w:val="24"/>
              </w:rPr>
              <w:t xml:space="preserve">в том числе с участием представителей хозяйствующих субъектов, общественных объединений потребителей, иных заинтересованных лиц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2" w:rsidRPr="00B73042" w:rsidRDefault="00B73042" w:rsidP="00FB4481">
            <w:pPr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2" w:rsidRPr="00B73042" w:rsidRDefault="00B73042" w:rsidP="00FB4481">
            <w:pPr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3042" w:rsidRPr="00D27F09" w:rsidTr="00DF38A0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042" w:rsidRPr="00D27F09" w:rsidRDefault="00B73042" w:rsidP="00B7304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B73042" w:rsidRPr="00B73042" w:rsidRDefault="00541AE0" w:rsidP="00A01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2018 года на заседаниях Совета по развитию малого и среднего предпринимательства при администрации Ханты-Мансийского района рассматривались вопросы, направленные на </w:t>
            </w:r>
            <w:r w:rsidR="00A0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координацию и </w:t>
            </w: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по вопросам обеспечения и защиты прав потребителей с участием органов местного самоуправления, органов государственной власти федерального и окружного уровней</w:t>
            </w:r>
          </w:p>
        </w:tc>
      </w:tr>
    </w:tbl>
    <w:p w:rsidR="007A1A5A" w:rsidRPr="00D27F09" w:rsidRDefault="007A1A5A" w:rsidP="007A1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77C86" w:rsidRPr="00BB22A7" w:rsidRDefault="00BB22A7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 w:rsidRPr="00BB22A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B22A7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="00BB22A7" w:rsidRPr="00BB22A7">
        <w:rPr>
          <w:rFonts w:ascii="Times New Roman" w:hAnsi="Times New Roman" w:cs="Times New Roman"/>
          <w:sz w:val="20"/>
          <w:szCs w:val="20"/>
        </w:rPr>
        <w:t>ксперт 1 категории</w:t>
      </w:r>
      <w:r w:rsidR="00BB2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отдела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труда, предпринимательства и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потребительского рынка комитета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экономической политики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Доронина Татьяна Кузьмовна,</w:t>
      </w:r>
    </w:p>
    <w:p w:rsidR="00CF5698" w:rsidRPr="00BB22A7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35-27-98</w:t>
      </w:r>
    </w:p>
    <w:sectPr w:rsidR="00CF5698" w:rsidRPr="00BB22A7" w:rsidSect="00782120">
      <w:headerReference w:type="default" r:id="rId7"/>
      <w:type w:val="nextColumn"/>
      <w:pgSz w:w="16838" w:h="11906" w:orient="landscape"/>
      <w:pgMar w:top="851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1" w:rsidRDefault="001B0641">
      <w:r>
        <w:separator/>
      </w:r>
    </w:p>
  </w:endnote>
  <w:endnote w:type="continuationSeparator" w:id="0">
    <w:p w:rsidR="001B0641" w:rsidRDefault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1" w:rsidRDefault="001B0641">
      <w:r>
        <w:separator/>
      </w:r>
    </w:p>
  </w:footnote>
  <w:footnote w:type="continuationSeparator" w:id="0">
    <w:p w:rsidR="001B0641" w:rsidRDefault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B1" w:rsidRDefault="007A1A5A" w:rsidP="00625EBB">
    <w:pPr>
      <w:pStyle w:val="a3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C514F9">
      <w:rPr>
        <w:rFonts w:ascii="Times New Roman" w:hAnsi="Times New Roman"/>
        <w:noProof/>
        <w:sz w:val="24"/>
        <w:szCs w:val="24"/>
      </w:rPr>
      <w:t>2</w:t>
    </w:r>
    <w:r w:rsidRPr="00EA112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81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1927"/>
    <w:rsid w:val="001527CE"/>
    <w:rsid w:val="00155CFB"/>
    <w:rsid w:val="0016062C"/>
    <w:rsid w:val="00161C7D"/>
    <w:rsid w:val="00167D39"/>
    <w:rsid w:val="0018036B"/>
    <w:rsid w:val="00194E6B"/>
    <w:rsid w:val="001960D9"/>
    <w:rsid w:val="0019754C"/>
    <w:rsid w:val="001B0641"/>
    <w:rsid w:val="001B40F4"/>
    <w:rsid w:val="001B4E34"/>
    <w:rsid w:val="001B5793"/>
    <w:rsid w:val="001C0113"/>
    <w:rsid w:val="001C3921"/>
    <w:rsid w:val="001D4AD7"/>
    <w:rsid w:val="001D549D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30351"/>
    <w:rsid w:val="00245CE7"/>
    <w:rsid w:val="00260850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B5FB0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4C8E"/>
    <w:rsid w:val="004B652C"/>
    <w:rsid w:val="004E0133"/>
    <w:rsid w:val="004E2D1F"/>
    <w:rsid w:val="005032F9"/>
    <w:rsid w:val="00505F2C"/>
    <w:rsid w:val="005120A3"/>
    <w:rsid w:val="00516373"/>
    <w:rsid w:val="00524BCD"/>
    <w:rsid w:val="00541325"/>
    <w:rsid w:val="00541AE0"/>
    <w:rsid w:val="005432D3"/>
    <w:rsid w:val="00550575"/>
    <w:rsid w:val="00554223"/>
    <w:rsid w:val="00557A11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92B99"/>
    <w:rsid w:val="006A26C4"/>
    <w:rsid w:val="006B438A"/>
    <w:rsid w:val="006B447B"/>
    <w:rsid w:val="006B567E"/>
    <w:rsid w:val="006D0C65"/>
    <w:rsid w:val="006D7109"/>
    <w:rsid w:val="006D7CB2"/>
    <w:rsid w:val="006E1937"/>
    <w:rsid w:val="006E2ED2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2120"/>
    <w:rsid w:val="00784DB9"/>
    <w:rsid w:val="007850DB"/>
    <w:rsid w:val="007A1A5A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80472"/>
    <w:rsid w:val="00894A0B"/>
    <w:rsid w:val="00897673"/>
    <w:rsid w:val="008B12C3"/>
    <w:rsid w:val="008B2E74"/>
    <w:rsid w:val="008D66C1"/>
    <w:rsid w:val="008E1B9F"/>
    <w:rsid w:val="008E64B4"/>
    <w:rsid w:val="008F6225"/>
    <w:rsid w:val="00905C0C"/>
    <w:rsid w:val="00914E41"/>
    <w:rsid w:val="00917718"/>
    <w:rsid w:val="00925331"/>
    <w:rsid w:val="009343E9"/>
    <w:rsid w:val="0093578A"/>
    <w:rsid w:val="009404C9"/>
    <w:rsid w:val="00941D16"/>
    <w:rsid w:val="00944DC7"/>
    <w:rsid w:val="00957D13"/>
    <w:rsid w:val="00961320"/>
    <w:rsid w:val="009709CC"/>
    <w:rsid w:val="00974193"/>
    <w:rsid w:val="00975E62"/>
    <w:rsid w:val="009762CF"/>
    <w:rsid w:val="00980B13"/>
    <w:rsid w:val="00993D55"/>
    <w:rsid w:val="009959BE"/>
    <w:rsid w:val="00997E1F"/>
    <w:rsid w:val="009B18C8"/>
    <w:rsid w:val="009C0D56"/>
    <w:rsid w:val="009C2326"/>
    <w:rsid w:val="009C5562"/>
    <w:rsid w:val="009D3544"/>
    <w:rsid w:val="009E0374"/>
    <w:rsid w:val="009E11A4"/>
    <w:rsid w:val="009E433A"/>
    <w:rsid w:val="009F122C"/>
    <w:rsid w:val="009F152E"/>
    <w:rsid w:val="00A0191C"/>
    <w:rsid w:val="00A05176"/>
    <w:rsid w:val="00A07EC4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2C12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231C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042"/>
    <w:rsid w:val="00B73157"/>
    <w:rsid w:val="00B8516F"/>
    <w:rsid w:val="00B92A21"/>
    <w:rsid w:val="00B93A46"/>
    <w:rsid w:val="00B946AD"/>
    <w:rsid w:val="00B95701"/>
    <w:rsid w:val="00BA28B7"/>
    <w:rsid w:val="00BA7D6E"/>
    <w:rsid w:val="00BB22A7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14F9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CF5698"/>
    <w:rsid w:val="00D120BA"/>
    <w:rsid w:val="00D128DD"/>
    <w:rsid w:val="00D264F8"/>
    <w:rsid w:val="00D26710"/>
    <w:rsid w:val="00D27F09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00F6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34F36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1B81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Алимбекова А.А.</cp:lastModifiedBy>
  <cp:revision>2</cp:revision>
  <dcterms:created xsi:type="dcterms:W3CDTF">2018-12-27T09:45:00Z</dcterms:created>
  <dcterms:modified xsi:type="dcterms:W3CDTF">2018-12-27T09:45:00Z</dcterms:modified>
</cp:coreProperties>
</file>